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2E" w:rsidRDefault="00740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 с огра</w:t>
      </w:r>
      <w:r w:rsidR="006D62AB">
        <w:rPr>
          <w:rFonts w:ascii="Times New Roman" w:hAnsi="Times New Roman" w:cs="Times New Roman"/>
          <w:b/>
          <w:sz w:val="24"/>
          <w:szCs w:val="24"/>
        </w:rPr>
        <w:t>ниченной ответственностью «Початок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7282E" w:rsidRDefault="006D6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:rsidR="0057282E" w:rsidRDefault="00740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учетной политики на 202</w:t>
      </w:r>
      <w:r w:rsidR="00150F1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7282E" w:rsidRDefault="006D6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</w:t>
      </w:r>
      <w:r w:rsidR="00740D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3</w:t>
      </w:r>
      <w:r w:rsidR="00150F1C">
        <w:rPr>
          <w:rFonts w:ascii="Times New Roman" w:hAnsi="Times New Roman" w:cs="Times New Roman"/>
          <w:sz w:val="24"/>
          <w:szCs w:val="24"/>
        </w:rPr>
        <w:t>0</w:t>
      </w:r>
      <w:r w:rsidR="00740D11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150F1C">
        <w:rPr>
          <w:rFonts w:ascii="Times New Roman" w:hAnsi="Times New Roman" w:cs="Times New Roman"/>
          <w:sz w:val="24"/>
          <w:szCs w:val="24"/>
        </w:rPr>
        <w:t>1</w:t>
      </w:r>
      <w:r w:rsidR="00740D1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7282E" w:rsidRDefault="00740D1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политику для целей налогообложения на 202</w:t>
      </w:r>
      <w:r w:rsidR="00150F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1 к настоящему приказу).</w:t>
      </w:r>
    </w:p>
    <w:p w:rsidR="0057282E" w:rsidRDefault="00740D1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учетную политику для целей бухгалтерского учета на 202</w:t>
      </w:r>
      <w:r w:rsidR="00150F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 (приложение № 2 к настоящему приказу).</w:t>
      </w:r>
    </w:p>
    <w:p w:rsidR="0057282E" w:rsidRDefault="00740D11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Лицом, ответственным за выполнение данного приказа, назначить главного бухгалтера </w:t>
      </w:r>
      <w:r w:rsidR="006D62AB">
        <w:rPr>
          <w:rFonts w:ascii="Times New Roman" w:hAnsi="Times New Roman" w:cs="Times New Roman"/>
          <w:sz w:val="24"/>
          <w:szCs w:val="24"/>
        </w:rPr>
        <w:t>Петрову Е.Ю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82E" w:rsidRDefault="0057282E">
      <w:pPr>
        <w:rPr>
          <w:rFonts w:ascii="Times New Roman" w:hAnsi="Times New Roman" w:cs="Times New Roman"/>
          <w:sz w:val="24"/>
          <w:szCs w:val="24"/>
        </w:rPr>
      </w:pP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Генеральный директор                                        </w:t>
      </w:r>
      <w:r w:rsidR="006D62A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___________________/ </w:t>
      </w:r>
      <w:r w:rsidR="006D62AB">
        <w:rPr>
          <w:rFonts w:ascii="Times New Roman" w:hAnsi="Times New Roman" w:cs="Times New Roman"/>
          <w:sz w:val="24"/>
          <w:szCs w:val="24"/>
        </w:rPr>
        <w:t>Антонов О.А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57282E" w:rsidRDefault="0057282E">
      <w:pPr>
        <w:rPr>
          <w:rFonts w:ascii="Times New Roman" w:hAnsi="Times New Roman" w:cs="Times New Roman"/>
          <w:sz w:val="24"/>
          <w:szCs w:val="24"/>
        </w:rPr>
      </w:pPr>
    </w:p>
    <w:p w:rsidR="0057282E" w:rsidRDefault="00740D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282E" w:rsidRDefault="00740D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</w:t>
      </w:r>
      <w:r w:rsidR="00150F1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</w:t>
      </w:r>
      <w:r w:rsidR="00150F1C">
        <w:rPr>
          <w:rFonts w:ascii="Times New Roman" w:hAnsi="Times New Roman" w:cs="Times New Roman"/>
          <w:sz w:val="24"/>
          <w:szCs w:val="24"/>
        </w:rPr>
        <w:t>1</w:t>
      </w:r>
      <w:r w:rsidR="006D62AB">
        <w:rPr>
          <w:rFonts w:ascii="Times New Roman" w:hAnsi="Times New Roman" w:cs="Times New Roman"/>
          <w:sz w:val="24"/>
          <w:szCs w:val="24"/>
        </w:rPr>
        <w:t xml:space="preserve"> № __</w:t>
      </w:r>
    </w:p>
    <w:p w:rsidR="0057282E" w:rsidRDefault="00793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D11">
        <w:rPr>
          <w:rFonts w:ascii="Times New Roman" w:hAnsi="Times New Roman" w:cs="Times New Roman"/>
          <w:b/>
          <w:sz w:val="24"/>
          <w:szCs w:val="24"/>
        </w:rPr>
        <w:t>УЧЕТНАЯ ПОЛИТИКА НА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40D11">
        <w:rPr>
          <w:rFonts w:ascii="Times New Roman" w:hAnsi="Times New Roman" w:cs="Times New Roman"/>
          <w:b/>
          <w:sz w:val="24"/>
          <w:szCs w:val="24"/>
        </w:rPr>
        <w:t xml:space="preserve"> ГОД ДЛЯ ЦЕЛЕЙ НАЛОГООБЛОЖЕНИЯ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Учет для целей налогообложения ведется отделом «Бухгалтерия», возглавляемым главным бухгалтером.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Налоговый учет доходов и расходов ведется автоматизировано при помощи программы «Налогоплательщик».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Применяется система налогообложения для сельскохозяйственных товаропроизводителей (уплата единого сельскохозяйственного налога).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Расходы на приобретение имущественных прав на земельные участки учитываются равномерно в течение 8 лет.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Используется освобождение от уплаты НДС в рамках статьи 145 НК РФ. Суммы налога на добавленную стоимость, предъявленные продавцами товаров (работ, услуг), включаются в стоимость приобретенных товаров (работ, услуг).</w:t>
      </w:r>
    </w:p>
    <w:p w:rsidR="0057282E" w:rsidRDefault="0057282E">
      <w:pPr>
        <w:rPr>
          <w:rFonts w:ascii="Times New Roman" w:hAnsi="Times New Roman" w:cs="Times New Roman"/>
          <w:sz w:val="24"/>
          <w:szCs w:val="24"/>
        </w:rPr>
      </w:pP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</w:t>
      </w:r>
      <w:r w:rsidR="006D62A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____________/</w:t>
      </w:r>
      <w:r w:rsidR="006D62AB">
        <w:rPr>
          <w:rFonts w:ascii="Times New Roman" w:hAnsi="Times New Roman" w:cs="Times New Roman"/>
          <w:sz w:val="24"/>
          <w:szCs w:val="24"/>
        </w:rPr>
        <w:t>Антонов О.А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57282E" w:rsidRDefault="0057282E">
      <w:pPr>
        <w:rPr>
          <w:rFonts w:ascii="Times New Roman" w:hAnsi="Times New Roman" w:cs="Times New Roman"/>
          <w:sz w:val="24"/>
          <w:szCs w:val="24"/>
        </w:rPr>
      </w:pPr>
    </w:p>
    <w:p w:rsidR="006D62AB" w:rsidRDefault="006D62AB">
      <w:pPr>
        <w:rPr>
          <w:rFonts w:ascii="Times New Roman" w:hAnsi="Times New Roman" w:cs="Times New Roman"/>
          <w:sz w:val="24"/>
          <w:szCs w:val="24"/>
        </w:rPr>
      </w:pPr>
    </w:p>
    <w:p w:rsidR="0057282E" w:rsidRDefault="00740D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57282E" w:rsidRDefault="00740D1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3</w:t>
      </w:r>
      <w:r w:rsidR="00150F1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.12.2</w:t>
      </w:r>
      <w:r w:rsidR="00150F1C">
        <w:rPr>
          <w:rFonts w:ascii="Times New Roman" w:hAnsi="Times New Roman" w:cs="Times New Roman"/>
          <w:sz w:val="24"/>
          <w:szCs w:val="24"/>
        </w:rPr>
        <w:t>1</w:t>
      </w:r>
      <w:r w:rsidR="006D62AB">
        <w:rPr>
          <w:rFonts w:ascii="Times New Roman" w:hAnsi="Times New Roman" w:cs="Times New Roman"/>
          <w:sz w:val="24"/>
          <w:szCs w:val="24"/>
        </w:rPr>
        <w:t xml:space="preserve"> № __</w:t>
      </w:r>
    </w:p>
    <w:p w:rsidR="0057282E" w:rsidRDefault="00740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УЧЕТНАЯ ПОЛИТИКА НА 202</w:t>
      </w:r>
      <w:r w:rsidR="00150F1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ДЛЯ ЦЕЛЕЙ БУХГАЛТЕРСКОГО УЧЕТА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Бухгалтерский учет ведется отделом «Бухгалтерия», возглавляемым главным бухгалтером.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Бухгалтерский учет ведется автоматизировано при помощи программы «Налогоплательщик».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Применяется рабочий план счетов: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- 01 «Основные средства»;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- 02 «Амортизация основных средств»;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- 08 «Вложения во внеоборотные активы»;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- 10 «Материалы»;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- 41 «Товары»;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- 44 «Расходы на продажу»;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- 45 «Товары отгруженные»;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- 50 «Касса»;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- 51 «Расчетный счет»;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- 60 «Расчеты с поставщиками и подрядчиками»;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- 62 «Расчеты с покупателями и заказчиками»;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- 68 «Расчеты по налогам и сборам»;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- 69 «Расчеты по социальному страхованию и обеспечению»;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- 70 «Расчеты с персоналом по оплате труда»;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- 75 «Расчеты с учредителями»;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- 76 «Расчеты с разными дебиторами и кредиторами»;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- 80 «Уставный капитал»;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- 84 «Нераспределенная прибыль (непокрытый убыток)»;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- 90 «Продажи»;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- 91 «Прочие доходы и расходы»;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- 96 «Резервы предстоящих расходов»;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- 97 «Расходы будущих периодов»;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- 98 «Доходы будущих периодов»;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- 99 «Прибыли и убытки».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Используются унифицированные формы первичных документов, утвержденные Росстатом.</w:t>
      </w:r>
    </w:p>
    <w:p w:rsidR="0057282E" w:rsidRDefault="00740D11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Первичные документы составляются на бумажном носителе. 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Бухгалтерский учет ведется при помощи регистров бухгалтерского учета:</w:t>
      </w:r>
    </w:p>
    <w:p w:rsidR="0057282E" w:rsidRDefault="00740D11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Главная книга.</w:t>
      </w:r>
    </w:p>
    <w:p w:rsidR="0057282E" w:rsidRDefault="00740D11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Оборотно-сальдовые ведомости.</w:t>
      </w:r>
    </w:p>
    <w:p w:rsidR="0057282E" w:rsidRDefault="00740D11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по счетам синтетического и аналитического учета.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Регистры бухгалтерского учета ведутся и хранятся на магнитных носителях. По завершении отчетного периода регистры распечатываются.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Промежуточная бухгалтерская отчетность не составляется.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Критерий существенности — 5% от статьи бухгалтерской отчетности или величины объекта учета.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Инвентаризация имущества проводится по состоянию на последний день отчетного периода.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Бухгалтерский учет основных средств осуществляется по нормам ФСБУ 6/2020.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150F1C" w:rsidRPr="00150F1C">
        <w:rPr>
          <w:rFonts w:ascii="Times New Roman" w:hAnsi="Times New Roman" w:cs="Times New Roman"/>
          <w:sz w:val="24"/>
          <w:szCs w:val="24"/>
        </w:rPr>
        <w:t>Срок полезного использования основных средств определяется как период, в течение которого объект приносит экономические выгоды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Амортизация по всем объектам основных средств начисляется линейным методом.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Объекты со сроком полезного использования более 12 месяцев и первоначальной стоимостью менее 40 000 руб. признаются материально-производственными запасами.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Суммы налога на добавленную стоимость, предъявленные продавцами товаров (работ, услуг), в том числе основных средств, на счете 19 не учитываются. Указанные суммы НДС включаются в стоимость приобретенных товаров (работ, услуг), в том числе основных средств.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Стартовое значение резерва расходов по предстоящим отпускам рассчитывается по каждому работнику.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При выбытии (в том числе при продаже) товара его оценка производится по средней себестоимости.</w:t>
      </w:r>
    </w:p>
    <w:p w:rsidR="0057282E" w:rsidRDefault="00740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</w:t>
      </w:r>
      <w:r w:rsidR="006D62A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____________/</w:t>
      </w:r>
      <w:r w:rsidR="006D62AB">
        <w:rPr>
          <w:rFonts w:ascii="Times New Roman" w:hAnsi="Times New Roman" w:cs="Times New Roman"/>
          <w:sz w:val="24"/>
          <w:szCs w:val="24"/>
        </w:rPr>
        <w:t>Антонов О.А</w:t>
      </w:r>
      <w:r>
        <w:rPr>
          <w:rFonts w:ascii="Times New Roman" w:hAnsi="Times New Roman" w:cs="Times New Roman"/>
          <w:sz w:val="24"/>
          <w:szCs w:val="24"/>
        </w:rPr>
        <w:t>./</w:t>
      </w:r>
    </w:p>
    <w:sectPr w:rsidR="00572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87" w:rsidRDefault="00D17887">
      <w:pPr>
        <w:spacing w:after="0" w:line="240" w:lineRule="auto"/>
      </w:pPr>
      <w:r>
        <w:separator/>
      </w:r>
    </w:p>
  </w:endnote>
  <w:endnote w:type="continuationSeparator" w:id="0">
    <w:p w:rsidR="00D17887" w:rsidRDefault="00D1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87" w:rsidRDefault="00D17887">
      <w:pPr>
        <w:spacing w:after="0" w:line="240" w:lineRule="auto"/>
      </w:pPr>
      <w:r>
        <w:separator/>
      </w:r>
    </w:p>
  </w:footnote>
  <w:footnote w:type="continuationSeparator" w:id="0">
    <w:p w:rsidR="00D17887" w:rsidRDefault="00D1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547"/>
    <w:multiLevelType w:val="hybridMultilevel"/>
    <w:tmpl w:val="F9A8587E"/>
    <w:lvl w:ilvl="0" w:tplc="4C584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07836">
      <w:start w:val="1"/>
      <w:numFmt w:val="lowerLetter"/>
      <w:lvlText w:val="%2."/>
      <w:lvlJc w:val="left"/>
      <w:pPr>
        <w:ind w:left="1440" w:hanging="360"/>
      </w:pPr>
    </w:lvl>
    <w:lvl w:ilvl="2" w:tplc="1AD4B31E">
      <w:start w:val="1"/>
      <w:numFmt w:val="lowerRoman"/>
      <w:lvlText w:val="%3."/>
      <w:lvlJc w:val="right"/>
      <w:pPr>
        <w:ind w:left="2160" w:hanging="180"/>
      </w:pPr>
    </w:lvl>
    <w:lvl w:ilvl="3" w:tplc="19BEFAAA">
      <w:start w:val="1"/>
      <w:numFmt w:val="decimal"/>
      <w:lvlText w:val="%4."/>
      <w:lvlJc w:val="left"/>
      <w:pPr>
        <w:ind w:left="2880" w:hanging="360"/>
      </w:pPr>
    </w:lvl>
    <w:lvl w:ilvl="4" w:tplc="EEA4CEEE">
      <w:start w:val="1"/>
      <w:numFmt w:val="lowerLetter"/>
      <w:lvlText w:val="%5."/>
      <w:lvlJc w:val="left"/>
      <w:pPr>
        <w:ind w:left="3600" w:hanging="360"/>
      </w:pPr>
    </w:lvl>
    <w:lvl w:ilvl="5" w:tplc="33C0A520">
      <w:start w:val="1"/>
      <w:numFmt w:val="lowerRoman"/>
      <w:lvlText w:val="%6."/>
      <w:lvlJc w:val="right"/>
      <w:pPr>
        <w:ind w:left="4320" w:hanging="180"/>
      </w:pPr>
    </w:lvl>
    <w:lvl w:ilvl="6" w:tplc="6540B598">
      <w:start w:val="1"/>
      <w:numFmt w:val="decimal"/>
      <w:lvlText w:val="%7."/>
      <w:lvlJc w:val="left"/>
      <w:pPr>
        <w:ind w:left="5040" w:hanging="360"/>
      </w:pPr>
    </w:lvl>
    <w:lvl w:ilvl="7" w:tplc="F8380C64">
      <w:start w:val="1"/>
      <w:numFmt w:val="lowerLetter"/>
      <w:lvlText w:val="%8."/>
      <w:lvlJc w:val="left"/>
      <w:pPr>
        <w:ind w:left="5760" w:hanging="360"/>
      </w:pPr>
    </w:lvl>
    <w:lvl w:ilvl="8" w:tplc="C70EED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77917"/>
    <w:multiLevelType w:val="hybridMultilevel"/>
    <w:tmpl w:val="8DF6BC04"/>
    <w:lvl w:ilvl="0" w:tplc="7BE80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6C7212">
      <w:start w:val="1"/>
      <w:numFmt w:val="lowerLetter"/>
      <w:lvlText w:val="%2."/>
      <w:lvlJc w:val="left"/>
      <w:pPr>
        <w:ind w:left="1440" w:hanging="360"/>
      </w:pPr>
    </w:lvl>
    <w:lvl w:ilvl="2" w:tplc="7EC0E8E6">
      <w:start w:val="1"/>
      <w:numFmt w:val="lowerRoman"/>
      <w:lvlText w:val="%3."/>
      <w:lvlJc w:val="right"/>
      <w:pPr>
        <w:ind w:left="2160" w:hanging="180"/>
      </w:pPr>
    </w:lvl>
    <w:lvl w:ilvl="3" w:tplc="4382654C">
      <w:start w:val="1"/>
      <w:numFmt w:val="decimal"/>
      <w:lvlText w:val="%4."/>
      <w:lvlJc w:val="left"/>
      <w:pPr>
        <w:ind w:left="2880" w:hanging="360"/>
      </w:pPr>
    </w:lvl>
    <w:lvl w:ilvl="4" w:tplc="95C4092C">
      <w:start w:val="1"/>
      <w:numFmt w:val="lowerLetter"/>
      <w:lvlText w:val="%5."/>
      <w:lvlJc w:val="left"/>
      <w:pPr>
        <w:ind w:left="3600" w:hanging="360"/>
      </w:pPr>
    </w:lvl>
    <w:lvl w:ilvl="5" w:tplc="253E30B0">
      <w:start w:val="1"/>
      <w:numFmt w:val="lowerRoman"/>
      <w:lvlText w:val="%6."/>
      <w:lvlJc w:val="right"/>
      <w:pPr>
        <w:ind w:left="4320" w:hanging="180"/>
      </w:pPr>
    </w:lvl>
    <w:lvl w:ilvl="6" w:tplc="47B68C5C">
      <w:start w:val="1"/>
      <w:numFmt w:val="decimal"/>
      <w:lvlText w:val="%7."/>
      <w:lvlJc w:val="left"/>
      <w:pPr>
        <w:ind w:left="5040" w:hanging="360"/>
      </w:pPr>
    </w:lvl>
    <w:lvl w:ilvl="7" w:tplc="259E8568">
      <w:start w:val="1"/>
      <w:numFmt w:val="lowerLetter"/>
      <w:lvlText w:val="%8."/>
      <w:lvlJc w:val="left"/>
      <w:pPr>
        <w:ind w:left="5760" w:hanging="360"/>
      </w:pPr>
    </w:lvl>
    <w:lvl w:ilvl="8" w:tplc="46EE70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2E"/>
    <w:rsid w:val="00150F1C"/>
    <w:rsid w:val="004C5BBB"/>
    <w:rsid w:val="0057282E"/>
    <w:rsid w:val="006D62AB"/>
    <w:rsid w:val="00740D11"/>
    <w:rsid w:val="00793DF1"/>
    <w:rsid w:val="00B72B44"/>
    <w:rsid w:val="00D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8E2E"/>
  <w15:docId w15:val="{E9EEBE5E-5A21-4FDA-95DB-2BF0ACF1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Космакова Елена Евгеньевна</cp:lastModifiedBy>
  <cp:revision>2</cp:revision>
  <dcterms:created xsi:type="dcterms:W3CDTF">2021-11-28T19:07:00Z</dcterms:created>
  <dcterms:modified xsi:type="dcterms:W3CDTF">2021-11-28T19:07:00Z</dcterms:modified>
</cp:coreProperties>
</file>